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734A" w14:textId="77777777" w:rsidR="00D52494" w:rsidRDefault="007D2A45">
      <w:pPr>
        <w:spacing w:after="273" w:line="259" w:lineRule="auto"/>
        <w:ind w:left="-744" w:right="-821"/>
        <w:jc w:val="left"/>
      </w:pPr>
      <w:r>
        <w:rPr>
          <w:noProof/>
        </w:rPr>
        <w:drawing>
          <wp:inline distT="0" distB="0" distL="0" distR="0" wp14:anchorId="146EC4DA" wp14:editId="78829D15">
            <wp:extent cx="6775704" cy="3597666"/>
            <wp:effectExtent l="0" t="0" r="0" b="0"/>
            <wp:docPr id="18226" name="Picture 18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" name="Picture 182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5704" cy="359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8D2EC" w14:textId="77777777" w:rsidR="00D52494" w:rsidRDefault="007D2A45">
      <w:pPr>
        <w:spacing w:line="216" w:lineRule="auto"/>
        <w:ind w:left="24" w:right="19" w:firstLine="5"/>
        <w:jc w:val="left"/>
      </w:pPr>
      <w:r>
        <w:rPr>
          <w:sz w:val="30"/>
        </w:rPr>
        <w:t>HQW Aerospace (UK) Ltd upholds the following in support of its Quality policy:</w:t>
      </w:r>
    </w:p>
    <w:p w14:paraId="25C15074" w14:textId="77777777" w:rsidR="0049687C" w:rsidRDefault="007D2A45">
      <w:pPr>
        <w:spacing w:after="180"/>
        <w:ind w:left="-1"/>
      </w:pPr>
      <w:r>
        <w:t xml:space="preserve">Provision of high quality products and support which meet or exceed the expectations of our customers and are fit for purpose. </w:t>
      </w:r>
    </w:p>
    <w:p w14:paraId="48407715" w14:textId="64121BCC" w:rsidR="00D52494" w:rsidRDefault="007D2A45">
      <w:pPr>
        <w:spacing w:after="180"/>
        <w:ind w:left="-1"/>
      </w:pPr>
      <w:r>
        <w:t>Operate the business to fulfil the requirements of</w:t>
      </w:r>
    </w:p>
    <w:p w14:paraId="6C25482D" w14:textId="77777777" w:rsidR="00D52494" w:rsidRDefault="007D2A45">
      <w:pPr>
        <w:spacing w:after="32"/>
        <w:ind w:left="-1" w:right="9"/>
      </w:pPr>
      <w:r>
        <w:rPr>
          <w:noProof/>
        </w:rPr>
        <w:drawing>
          <wp:inline distT="0" distB="0" distL="0" distR="0" wp14:anchorId="45D1302E" wp14:editId="053230CD">
            <wp:extent cx="57912" cy="54880"/>
            <wp:effectExtent l="0" t="0" r="0" b="0"/>
            <wp:docPr id="15571" name="Picture 15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1" name="Picture 155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AS 9100: Revision D</w:t>
      </w:r>
    </w:p>
    <w:p w14:paraId="6D4EE799" w14:textId="3A473460" w:rsidR="00D52494" w:rsidRDefault="00F720F8">
      <w:pPr>
        <w:spacing w:after="54"/>
        <w:ind w:left="-1" w:right="9"/>
      </w:pPr>
      <w:r>
        <w:pict w14:anchorId="66F01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572" o:spid="_x0000_i1025" type="#_x0000_t75" style="width:4.2pt;height:4.2pt;visibility:visible;mso-wrap-style:square" o:bullet="t">
            <v:imagedata r:id="rId11" o:title=""/>
          </v:shape>
        </w:pict>
      </w:r>
      <w:r w:rsidR="007D2A45">
        <w:t xml:space="preserve"> AS 9120: Revision B</w:t>
      </w:r>
    </w:p>
    <w:p w14:paraId="4A1BC067" w14:textId="77777777" w:rsidR="00E8654E" w:rsidRDefault="00E8654E">
      <w:pPr>
        <w:spacing w:after="54"/>
        <w:ind w:left="-1" w:right="9"/>
      </w:pPr>
    </w:p>
    <w:p w14:paraId="0717BF2A" w14:textId="382E5225" w:rsidR="00D52494" w:rsidRDefault="007D2A45" w:rsidP="0049687C">
      <w:pPr>
        <w:spacing w:after="118" w:line="231" w:lineRule="auto"/>
        <w:ind w:left="0" w:right="0"/>
      </w:pPr>
      <w:r>
        <w:t xml:space="preserve">Enhance the skills of the organisation through review and actively pursuing an ongoing training policy </w:t>
      </w:r>
      <w:r w:rsidR="0049687C">
        <w:t>a</w:t>
      </w:r>
      <w:r>
        <w:t>nd equipment investment, with the objective being to prepare all staff to perform their work more effectively.</w:t>
      </w:r>
    </w:p>
    <w:p w14:paraId="350D54FF" w14:textId="77777777" w:rsidR="00D52494" w:rsidRDefault="007D2A45">
      <w:pPr>
        <w:ind w:left="-1" w:right="9"/>
      </w:pPr>
      <w:r>
        <w:t>Promote the culture of continual improvement, risk management and the philosophy of getting things done right first time.</w:t>
      </w:r>
    </w:p>
    <w:p w14:paraId="5B8290F4" w14:textId="77777777" w:rsidR="00D52494" w:rsidRDefault="007D2A45">
      <w:pPr>
        <w:ind w:left="-1" w:right="9"/>
      </w:pPr>
      <w:r>
        <w:t>Effectively controlling the supply chain to ensure all materials are available when required meeting commercial, delivery and quality requirements.</w:t>
      </w:r>
    </w:p>
    <w:p w14:paraId="3AFFC412" w14:textId="77777777" w:rsidR="00D52494" w:rsidRDefault="007D2A45">
      <w:pPr>
        <w:ind w:left="-1" w:right="9"/>
      </w:pPr>
      <w:r>
        <w:t>To provide governance by continuous development of the Quality Management System through effective internal auditing and management review to provide effective corrective and preventative actions.</w:t>
      </w:r>
    </w:p>
    <w:p w14:paraId="0111C1CE" w14:textId="6AEFCBD1" w:rsidR="00D52494" w:rsidRDefault="007D2A45">
      <w:pPr>
        <w:spacing w:after="0"/>
        <w:ind w:left="-1" w:right="9"/>
      </w:pPr>
      <w:r>
        <w:t>Everyone is responsible for the Quality of HQW Products and Services ensuring that we maintain the exacting st</w:t>
      </w:r>
      <w:r w:rsidR="0049687C">
        <w:t>an</w:t>
      </w:r>
      <w:r>
        <w:t>dards and specifications established. Delivery and Output requirements are not an allowable reaso</w:t>
      </w:r>
      <w:r w:rsidR="0049687C">
        <w:t>n</w:t>
      </w:r>
      <w:r>
        <w:t xml:space="preserve"> to </w:t>
      </w:r>
      <w:r w:rsidR="00A12517">
        <w:t xml:space="preserve">fail to </w:t>
      </w:r>
      <w:r>
        <w:t>meet these criteria.</w:t>
      </w:r>
    </w:p>
    <w:p w14:paraId="427B67FC" w14:textId="77777777" w:rsidR="0049687C" w:rsidRDefault="0049687C">
      <w:pPr>
        <w:spacing w:after="0"/>
        <w:ind w:left="-1" w:right="9"/>
      </w:pP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2268"/>
        <w:gridCol w:w="2268"/>
      </w:tblGrid>
      <w:tr w:rsidR="0049687C" w14:paraId="20BD2780" w14:textId="77777777" w:rsidTr="0049687C">
        <w:trPr>
          <w:trHeight w:val="519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63EEFA85" w14:textId="77777777" w:rsidR="0049687C" w:rsidRDefault="0049687C" w:rsidP="00934BD7">
            <w:pPr>
              <w:spacing w:after="53"/>
            </w:pPr>
          </w:p>
          <w:p w14:paraId="4444F406" w14:textId="77777777" w:rsidR="0049687C" w:rsidRDefault="0049687C" w:rsidP="00934BD7">
            <w:pPr>
              <w:spacing w:after="53"/>
            </w:pPr>
          </w:p>
          <w:p w14:paraId="00DED2CA" w14:textId="77777777" w:rsidR="0049687C" w:rsidRDefault="0049687C" w:rsidP="00934BD7">
            <w:pPr>
              <w:spacing w:after="53"/>
            </w:pPr>
          </w:p>
          <w:p w14:paraId="42317D22" w14:textId="77777777" w:rsidR="0049687C" w:rsidRDefault="0049687C" w:rsidP="00934BD7">
            <w:pPr>
              <w:spacing w:after="53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9A5066" w14:textId="77777777" w:rsidR="0049687C" w:rsidRDefault="0049687C" w:rsidP="00934BD7">
            <w:pPr>
              <w:spacing w:after="53"/>
            </w:pPr>
          </w:p>
          <w:p w14:paraId="506B3AD6" w14:textId="77777777" w:rsidR="0049687C" w:rsidRDefault="0049687C" w:rsidP="00934BD7">
            <w:pPr>
              <w:spacing w:after="53"/>
            </w:pPr>
          </w:p>
          <w:p w14:paraId="3947CF94" w14:textId="77777777" w:rsidR="005D3BA0" w:rsidRDefault="005D3BA0" w:rsidP="00934BD7">
            <w:pPr>
              <w:spacing w:after="53"/>
            </w:pPr>
          </w:p>
          <w:p w14:paraId="15FFB64C" w14:textId="77777777" w:rsidR="005D3BA0" w:rsidRDefault="005D3BA0" w:rsidP="00934BD7">
            <w:pPr>
              <w:spacing w:after="53"/>
            </w:pPr>
          </w:p>
          <w:p w14:paraId="5E0B4B18" w14:textId="77777777" w:rsidR="005D3BA0" w:rsidRDefault="005D3BA0" w:rsidP="00934BD7">
            <w:pPr>
              <w:spacing w:after="53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4CC33D" w14:textId="77777777" w:rsidR="0049687C" w:rsidRDefault="0049687C" w:rsidP="00934BD7">
            <w:pPr>
              <w:spacing w:after="53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EAEE1B" w14:textId="77777777" w:rsidR="0049687C" w:rsidRDefault="0049687C" w:rsidP="00934BD7">
            <w:pPr>
              <w:spacing w:after="53"/>
            </w:pPr>
          </w:p>
        </w:tc>
      </w:tr>
      <w:tr w:rsidR="0049687C" w14:paraId="56C5CECD" w14:textId="77777777" w:rsidTr="0049687C">
        <w:trPr>
          <w:trHeight w:val="519"/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14:paraId="13A11AFE" w14:textId="77777777" w:rsidR="0049687C" w:rsidRDefault="0049687C" w:rsidP="00934BD7">
            <w:pPr>
              <w:spacing w:after="53"/>
              <w:jc w:val="center"/>
            </w:pPr>
            <w:r>
              <w:t>Neil Morris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952C4F" w14:textId="77777777" w:rsidR="0049687C" w:rsidRDefault="0049687C" w:rsidP="00934BD7">
            <w:pPr>
              <w:spacing w:after="53"/>
              <w:jc w:val="center"/>
            </w:pPr>
            <w:r>
              <w:t>Mark Wakeham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D1A8B8" w14:textId="77777777" w:rsidR="0049687C" w:rsidRDefault="0049687C" w:rsidP="00934BD7">
            <w:pPr>
              <w:spacing w:after="53"/>
              <w:jc w:val="center"/>
            </w:pPr>
            <w:r>
              <w:t>Dave Tew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426266" w14:textId="77777777" w:rsidR="0049687C" w:rsidRDefault="0049687C" w:rsidP="00934BD7">
            <w:pPr>
              <w:spacing w:after="53"/>
              <w:jc w:val="center"/>
            </w:pPr>
            <w:r>
              <w:t>Gary Hughes</w:t>
            </w:r>
          </w:p>
        </w:tc>
      </w:tr>
      <w:tr w:rsidR="0049687C" w14:paraId="094277A7" w14:textId="77777777" w:rsidTr="0049687C">
        <w:trPr>
          <w:trHeight w:val="519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7D9B6FF3" w14:textId="77777777" w:rsidR="0049687C" w:rsidRDefault="0049687C" w:rsidP="00934BD7">
            <w:pPr>
              <w:spacing w:after="53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22C98B" w14:textId="77777777" w:rsidR="0049687C" w:rsidRDefault="0049687C" w:rsidP="00934BD7">
            <w:pPr>
              <w:spacing w:after="53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9AB48A" w14:textId="77777777" w:rsidR="0049687C" w:rsidRDefault="0049687C" w:rsidP="00934BD7">
            <w:pPr>
              <w:spacing w:after="53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0CB9D8" w14:textId="77777777" w:rsidR="0049687C" w:rsidRDefault="0049687C" w:rsidP="00934BD7">
            <w:pPr>
              <w:spacing w:after="53"/>
            </w:pPr>
          </w:p>
        </w:tc>
      </w:tr>
      <w:tr w:rsidR="0049687C" w14:paraId="19F33C4F" w14:textId="77777777" w:rsidTr="0049687C">
        <w:trPr>
          <w:trHeight w:val="519"/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14:paraId="55F4EF86" w14:textId="77777777" w:rsidR="0049687C" w:rsidRDefault="0049687C" w:rsidP="00934BD7">
            <w:pPr>
              <w:spacing w:after="53"/>
              <w:jc w:val="center"/>
            </w:pPr>
            <w:r>
              <w:t>Trevor Metherell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95C7D0" w14:textId="77777777" w:rsidR="0049687C" w:rsidRDefault="0049687C" w:rsidP="00934BD7">
            <w:pPr>
              <w:spacing w:after="53"/>
              <w:jc w:val="center"/>
            </w:pPr>
            <w:r>
              <w:t>Justine Descamps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1F521F" w14:textId="77777777" w:rsidR="0049687C" w:rsidRDefault="0049687C" w:rsidP="00934BD7">
            <w:pPr>
              <w:spacing w:after="53"/>
              <w:jc w:val="center"/>
            </w:pPr>
            <w:r>
              <w:t>John Dyer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9E6E1E" w14:textId="77777777" w:rsidR="0049687C" w:rsidRDefault="0049687C" w:rsidP="00934BD7">
            <w:pPr>
              <w:spacing w:after="53"/>
              <w:jc w:val="center"/>
            </w:pPr>
            <w:r>
              <w:t>Adam Wellington</w:t>
            </w:r>
          </w:p>
        </w:tc>
      </w:tr>
    </w:tbl>
    <w:p w14:paraId="646511F5" w14:textId="600627EE" w:rsidR="00D52494" w:rsidRDefault="00D52494" w:rsidP="00D418AB">
      <w:pPr>
        <w:spacing w:after="0" w:line="259" w:lineRule="auto"/>
        <w:ind w:left="0" w:right="-1128"/>
        <w:jc w:val="left"/>
      </w:pPr>
    </w:p>
    <w:sectPr w:rsidR="00D52494" w:rsidSect="0049687C">
      <w:footerReference w:type="default" r:id="rId12"/>
      <w:pgSz w:w="11904" w:h="16834"/>
      <w:pgMar w:top="725" w:right="847" w:bottom="528" w:left="135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2023" w14:textId="77777777" w:rsidR="00C41286" w:rsidRDefault="00C41286" w:rsidP="0049687C">
      <w:pPr>
        <w:spacing w:after="0" w:line="240" w:lineRule="auto"/>
      </w:pPr>
      <w:r>
        <w:separator/>
      </w:r>
    </w:p>
  </w:endnote>
  <w:endnote w:type="continuationSeparator" w:id="0">
    <w:p w14:paraId="6867D21B" w14:textId="77777777" w:rsidR="00C41286" w:rsidRDefault="00C41286" w:rsidP="0049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8C2" w14:textId="0EF8A33E" w:rsidR="0049687C" w:rsidRDefault="0049687C" w:rsidP="0049687C">
    <w:pPr>
      <w:pStyle w:val="Footer"/>
    </w:pPr>
    <w:r w:rsidRPr="0049687C">
      <w:t>ISPI 7-3-1-4 App 5</w:t>
    </w:r>
    <w:r>
      <w:t xml:space="preserve">  </w:t>
    </w:r>
    <w:r>
      <w:tab/>
      <w:t xml:space="preserve"> Revision 10.0 </w:t>
    </w:r>
    <w:r>
      <w:tab/>
      <w:t>March 2026</w:t>
    </w:r>
  </w:p>
  <w:p w14:paraId="3D2AE101" w14:textId="45D00B0F" w:rsidR="0049687C" w:rsidRDefault="0049687C">
    <w:pPr>
      <w:pStyle w:val="Footer"/>
    </w:pPr>
  </w:p>
  <w:p w14:paraId="0B305F0E" w14:textId="77777777" w:rsidR="0049687C" w:rsidRDefault="00496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93FE" w14:textId="77777777" w:rsidR="00C41286" w:rsidRDefault="00C41286" w:rsidP="0049687C">
      <w:pPr>
        <w:spacing w:after="0" w:line="240" w:lineRule="auto"/>
      </w:pPr>
      <w:r>
        <w:separator/>
      </w:r>
    </w:p>
  </w:footnote>
  <w:footnote w:type="continuationSeparator" w:id="0">
    <w:p w14:paraId="29ACA9F2" w14:textId="77777777" w:rsidR="00C41286" w:rsidRDefault="00C41286" w:rsidP="00496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94"/>
    <w:rsid w:val="0038399D"/>
    <w:rsid w:val="003E45B3"/>
    <w:rsid w:val="0049687C"/>
    <w:rsid w:val="005D3BA0"/>
    <w:rsid w:val="007C3634"/>
    <w:rsid w:val="007D2A45"/>
    <w:rsid w:val="00A12517"/>
    <w:rsid w:val="00B37C4D"/>
    <w:rsid w:val="00C41286"/>
    <w:rsid w:val="00D418AB"/>
    <w:rsid w:val="00D52494"/>
    <w:rsid w:val="00E8654E"/>
    <w:rsid w:val="00EA48C0"/>
    <w:rsid w:val="00F7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ABF5A"/>
  <w15:docId w15:val="{1330BCCE-C455-4A6A-A6DC-FBC794CF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24" w:lineRule="auto"/>
      <w:ind w:left="14" w:right="206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87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96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87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9211c-ee23-431a-9fb7-a56fcb7f5901" xsi:nil="true"/>
    <lcf76f155ced4ddcb4097134ff3c332f xmlns="130bbf73-10e3-4b5a-b1ab-c043a1e3df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BBBB8D60FB44B2C753A4FBCBE136" ma:contentTypeVersion="18" ma:contentTypeDescription="Create a new document." ma:contentTypeScope="" ma:versionID="102eaf6c059db8261b9cac95a6abea26">
  <xsd:schema xmlns:xsd="http://www.w3.org/2001/XMLSchema" xmlns:xs="http://www.w3.org/2001/XMLSchema" xmlns:p="http://schemas.microsoft.com/office/2006/metadata/properties" xmlns:ns2="130bbf73-10e3-4b5a-b1ab-c043a1e3df9d" xmlns:ns3="43c9211c-ee23-431a-9fb7-a56fcb7f5901" targetNamespace="http://schemas.microsoft.com/office/2006/metadata/properties" ma:root="true" ma:fieldsID="9c00ba8bd7818c00b417a33ad6602bbd" ns2:_="" ns3:_="">
    <xsd:import namespace="130bbf73-10e3-4b5a-b1ab-c043a1e3df9d"/>
    <xsd:import namespace="43c9211c-ee23-431a-9fb7-a56fcb7f5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bbf73-10e3-4b5a-b1ab-c043a1e3d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2c6a27-2caf-463b-921b-bdef6d6e7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211c-ee23-431a-9fb7-a56fcb7f5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f77683-9b03-411e-86f8-0ae53b8c08fb}" ma:internalName="TaxCatchAll" ma:showField="CatchAllData" ma:web="43c9211c-ee23-431a-9fb7-a56fcb7f5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776D8-33BD-43A6-8B5D-0CF8089E3A8A}">
  <ds:schemaRefs>
    <ds:schemaRef ds:uri="http://schemas.microsoft.com/office/2006/metadata/properties"/>
    <ds:schemaRef ds:uri="http://schemas.microsoft.com/office/infopath/2007/PartnerControls"/>
    <ds:schemaRef ds:uri="43c9211c-ee23-431a-9fb7-a56fcb7f5901"/>
    <ds:schemaRef ds:uri="130bbf73-10e3-4b5a-b1ab-c043a1e3df9d"/>
  </ds:schemaRefs>
</ds:datastoreItem>
</file>

<file path=customXml/itemProps2.xml><?xml version="1.0" encoding="utf-8"?>
<ds:datastoreItem xmlns:ds="http://schemas.openxmlformats.org/officeDocument/2006/customXml" ds:itemID="{947D8657-62F7-4F04-9CDA-757B7D78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415C5-FF0F-4D6B-A76F-914A8E3F5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bbf73-10e3-4b5a-b1ab-c043a1e3df9d"/>
    <ds:schemaRef ds:uri="43c9211c-ee23-431a-9fb7-a56fcb7f5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d1a928-2913-4369-bbf0-6dfbb1ccd1c6}" enabled="0" method="" siteId="{3ad1a928-2913-4369-bbf0-6dfbb1ccd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4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00206B3E7418250527103412</dc:title>
  <dc:subject/>
  <dc:creator>Simon Pentecost</dc:creator>
  <cp:keywords/>
  <cp:lastModifiedBy>Simon Pentecost</cp:lastModifiedBy>
  <cp:revision>2</cp:revision>
  <cp:lastPrinted>2026-03-24T14:50:00Z</cp:lastPrinted>
  <dcterms:created xsi:type="dcterms:W3CDTF">2026-03-30T11:20:00Z</dcterms:created>
  <dcterms:modified xsi:type="dcterms:W3CDTF">2026-03-30T11:20:00Z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0x0101005C13BBBB8D60FB44B2C753A4FBCBE136</vt:lpwstr>
  </property>
  <property fmtid="{D5CDD505-2E9C-101B-9397-08002B2CF9AE}" pid="3" name="MediaServiceImageTags">
    <vt:lpwstr/>
  </property>
</Properties>
</file>